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82D" w:rsidRPr="00E02EED" w:rsidRDefault="00E02EED" w:rsidP="00E02EED">
      <w:pPr>
        <w:jc w:val="center"/>
        <w:rPr>
          <w:b/>
          <w:bCs/>
          <w:sz w:val="28"/>
          <w:szCs w:val="26"/>
        </w:rPr>
      </w:pPr>
      <w:r w:rsidRPr="00E02EED">
        <w:rPr>
          <w:b/>
          <w:bCs/>
          <w:sz w:val="28"/>
          <w:szCs w:val="26"/>
        </w:rPr>
        <w:t>Phụ lục 1</w:t>
      </w:r>
    </w:p>
    <w:p w:rsidR="00814DD7" w:rsidRPr="00E02EED" w:rsidRDefault="00EF782D" w:rsidP="00B37F99">
      <w:pPr>
        <w:spacing w:before="120"/>
        <w:ind w:left="567" w:right="675"/>
        <w:jc w:val="center"/>
        <w:rPr>
          <w:b/>
          <w:bCs/>
          <w:sz w:val="28"/>
          <w:szCs w:val="26"/>
        </w:rPr>
      </w:pPr>
      <w:r w:rsidRPr="00E02EED">
        <w:rPr>
          <w:b/>
          <w:bCs/>
          <w:sz w:val="28"/>
          <w:szCs w:val="26"/>
        </w:rPr>
        <w:t>MỘT SỐ NHIỆM VỤ CHỦ YẾ</w:t>
      </w:r>
      <w:bookmarkStart w:id="0" w:name="_GoBack"/>
      <w:bookmarkEnd w:id="0"/>
      <w:r w:rsidRPr="00E02EED">
        <w:rPr>
          <w:b/>
          <w:bCs/>
          <w:sz w:val="28"/>
          <w:szCs w:val="26"/>
        </w:rPr>
        <w:t>U TỔ CHỨC THỰC HIỆN</w:t>
      </w:r>
    </w:p>
    <w:p w:rsidR="00EF782D" w:rsidRDefault="00EF782D" w:rsidP="00E02EED">
      <w:pPr>
        <w:ind w:left="567" w:right="677"/>
        <w:jc w:val="center"/>
      </w:pPr>
      <w:proofErr w:type="gramStart"/>
      <w:r w:rsidRPr="00E02EED">
        <w:rPr>
          <w:b/>
          <w:bCs/>
          <w:sz w:val="28"/>
          <w:szCs w:val="26"/>
        </w:rPr>
        <w:t>chu</w:t>
      </w:r>
      <w:proofErr w:type="gramEnd"/>
      <w:r w:rsidRPr="00E02EED">
        <w:rPr>
          <w:b/>
          <w:bCs/>
          <w:sz w:val="28"/>
          <w:szCs w:val="26"/>
        </w:rPr>
        <w:t>̉ trương, giải pháp cơ cấu lại ngân sách nhà nước, quản lý nợ công để đảm bảo nền tài chính quốc gia an toàn, bền vững</w:t>
      </w:r>
      <w:r w:rsidR="00E02EED">
        <w:rPr>
          <w:b/>
          <w:bCs/>
          <w:sz w:val="28"/>
          <w:szCs w:val="26"/>
        </w:rPr>
        <w:t xml:space="preserve"> ban hành kèm theo Kế hoạch số </w:t>
      </w:r>
      <w:r w:rsidR="00E02EED">
        <w:t xml:space="preserve">số 489/KH-UBND </w:t>
      </w:r>
      <w:r w:rsidR="00E02EED" w:rsidRPr="00BE05EB">
        <w:t>ngày 06/02/2018</w:t>
      </w:r>
      <w:r w:rsidR="00E02EED">
        <w:t xml:space="preserve"> của UBND tỉnh</w:t>
      </w:r>
    </w:p>
    <w:p w:rsidR="00E02EED" w:rsidRPr="00E02EED" w:rsidRDefault="00E02EED" w:rsidP="00E02EED">
      <w:pPr>
        <w:jc w:val="center"/>
        <w:rPr>
          <w:i/>
          <w:noProof/>
          <w:sz w:val="28"/>
          <w:lang w:eastAsia="vi-VN"/>
        </w:rPr>
      </w:pPr>
      <w:r w:rsidRPr="00E02EED">
        <w:rPr>
          <w:i/>
          <w:noProof/>
          <w:sz w:val="28"/>
          <w:lang w:eastAsia="vi-VN"/>
        </w:rPr>
        <w:t>(Kèm theo Công văn số        /STC-QLNS ngày      tháng   3  năm 2020</w:t>
      </w:r>
      <w:r w:rsidRPr="00E02EED">
        <w:rPr>
          <w:i/>
          <w:noProof/>
          <w:sz w:val="28"/>
          <w:lang w:eastAsia="vi-VN"/>
        </w:rPr>
        <w:t xml:space="preserve"> của Sở Tài chính tỉnh Quảng Trị</w:t>
      </w:r>
      <w:r w:rsidRPr="00E02EED">
        <w:rPr>
          <w:i/>
          <w:noProof/>
          <w:sz w:val="28"/>
          <w:lang w:eastAsia="vi-VN"/>
        </w:rPr>
        <w:t>)</w:t>
      </w:r>
    </w:p>
    <w:p w:rsidR="00EF782D" w:rsidRDefault="00EF782D"/>
    <w:tbl>
      <w:tblPr>
        <w:tblW w:w="15978" w:type="dxa"/>
        <w:jc w:val="center"/>
        <w:tblInd w:w="93" w:type="dxa"/>
        <w:tblLook w:val="04A0" w:firstRow="1" w:lastRow="0" w:firstColumn="1" w:lastColumn="0" w:noHBand="0" w:noVBand="1"/>
      </w:tblPr>
      <w:tblGrid>
        <w:gridCol w:w="590"/>
        <w:gridCol w:w="6655"/>
        <w:gridCol w:w="1497"/>
        <w:gridCol w:w="1274"/>
        <w:gridCol w:w="2612"/>
        <w:gridCol w:w="3350"/>
      </w:tblGrid>
      <w:tr w:rsidR="00EF782D" w:rsidRPr="00B37F99" w:rsidTr="00E02EED">
        <w:trPr>
          <w:trHeight w:val="1052"/>
          <w:tblHeader/>
          <w:jc w:val="center"/>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TT</w:t>
            </w:r>
          </w:p>
        </w:tc>
        <w:tc>
          <w:tcPr>
            <w:tcW w:w="6655" w:type="dxa"/>
            <w:tcBorders>
              <w:top w:val="single" w:sz="4" w:space="0" w:color="auto"/>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Nội dung công việc</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Đơn vị chủ trì thực hiện</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Thời gian thực hiện</w:t>
            </w:r>
          </w:p>
        </w:tc>
        <w:tc>
          <w:tcPr>
            <w:tcW w:w="2612" w:type="dxa"/>
            <w:tcBorders>
              <w:top w:val="single" w:sz="4" w:space="0" w:color="auto"/>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Chương trình, kế hoạch của đơn vị, địa phương</w:t>
            </w:r>
          </w:p>
        </w:tc>
        <w:tc>
          <w:tcPr>
            <w:tcW w:w="3350" w:type="dxa"/>
            <w:tcBorders>
              <w:top w:val="single" w:sz="4" w:space="0" w:color="auto"/>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Kết quả thực hiện đến 31/12/2019</w:t>
            </w:r>
          </w:p>
        </w:tc>
      </w:tr>
      <w:tr w:rsidR="00EF782D" w:rsidRPr="00B37F99" w:rsidTr="00E02EED">
        <w:trPr>
          <w:trHeight w:val="28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3</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5</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I</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xml:space="preserve">Phát triển kinh tế thị trường định hướng xã hội chủ nghĩa, tạo môi trường và động lực cho phát triển kinh tế - xã hội, tạo nguồn thu nội địa bền vững, lâu dài </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Hàng năm phấn đấu thu hoàn thành và hoàn thành vượt dự toán thu HĐND tỉnh giao. Phấn đấu</w:t>
            </w:r>
            <w:r w:rsidRPr="00B37F99">
              <w:rPr>
                <w:rFonts w:asciiTheme="majorHAnsi" w:hAnsiTheme="majorHAnsi" w:cstheme="majorHAnsi"/>
                <w:color w:val="FF0000"/>
                <w:sz w:val="25"/>
                <w:szCs w:val="25"/>
              </w:rPr>
              <w:t xml:space="preserve"> </w:t>
            </w:r>
            <w:r w:rsidRPr="00B37F99">
              <w:rPr>
                <w:rFonts w:asciiTheme="majorHAnsi" w:hAnsiTheme="majorHAnsi" w:cstheme="majorHAnsi"/>
                <w:color w:val="000000"/>
                <w:sz w:val="25"/>
                <w:szCs w:val="25"/>
              </w:rPr>
              <w:t>tốc độ tăng thu nội địa bình quân trong giai đoạn 2016 - 2020 đạt trên 15%/năm.</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Cục Thuế, Sở Tài chính, Cục Hải quan</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Triển khai thực hiện Chương trình hành động số 93-CTHĐ/TU ngày 17/10/2017 của Tỉnh ủy thực hiện Nghị quyết 11-NQ/TW ngày 03/6/2017 của BCH Trung ương Đảng khóa XII về hoàn thiện thể chế kinh tế thị trường định hướng XHCN</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3</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Xây dựng và thực hiện Đề án hỗ trợ phát triển doanh nghiệp vừa và nhỏ để thúc đẩy các thành phần kinh tế phát triển</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4</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Tiếp tục thực hiện Kế hoạch số 1008/KH-UBND ngày 21/3/2017 của Ủy ban nhân dân tỉnh về cải thiện môi trường kinh doanh, nâng cao năng lực cạnh tranh của tỉnh Quảng Trị năm 2017, định hướng đến năm 2020.</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02EE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5</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Xây dựng và cung cấp các dịch vụ công trực tuyến mức độ 3, mức độ 4 tại Quyết định số 846/QĐ-TTg ngày 09/6/2017 của Thủ tướng Chính phủ ban hành danh mục dịch vụ công trực tuyến mức độ 3, 4 thực hiện tại các bộ, ngành địa phương năm 2017  theo lộ trình của Chính phủ và UBND tỉnh ban hành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Thông tin và Truyền thông</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02EE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lastRenderedPageBreak/>
              <w:t>6</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hiệu quả chương trình kết nối Ngân hàng - Doanh nghiệp, phát triển dịch vụ ngân hàng; cải cách thủ tục hành chính nhằm tháo gỡ khó khăn tạo điều kiện thuận lợi cho khách hàng tiếp cận nguồn vốn tín dụng theo đúng quy định của pháp luật.</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Ngân hàng Nhà nước</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02EE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7</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Tăng cường công tác thanh tra, kiểm tra việc chấp hành các quy định của pháp luật về quản lý giá, thuế, phí, lệ phí trên địa bàn, đặc biệt đối với những hàng hóa và dịch vụ tiêu dùng thiết yếu; Theo dõi sát diễn biến cung cầu và giá cả thị trường, đặc biệt đối với những hàng hóa, dịch vụ thiết yếu để kịp thời tham mưu UBND tỉnh biện pháp bình ổn giá.</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Thường xuyên</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28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II</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Đẩy mạnh cơ cấu lại nền kinh tế gắn với đổi mới mô hình tăng trưởng, nâng cao năng suất, hiệu quả và sức cạnh tranh của nền kinh tế</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pacing w:val="-4"/>
                <w:sz w:val="25"/>
                <w:szCs w:val="25"/>
                <w:lang w:val="da-DK"/>
              </w:rPr>
              <w:t>Triển khai thực hiện Luật Đầu tư công, các văn bản hướng dẫn thi hành và chỉ đạo của Chính phủ về những nhiệm vụ, giải pháp đẩy nhanh tiến độ thực hiện và giải ngân kế hoạch vốn đầu tư công; Huy động và sử dụng có hiệu quả nguồn lực đầu tư nâng cao chất lượng hệ thống kết cấu hạ tầng kinh tế - xã hội; Thường xuyên tổ chức kiểm tra, đánh giá tiến độ thực hiện các dự án, công trình…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lang w:val="da-DK"/>
              </w:rPr>
              <w:t>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lang w:val="da-DK"/>
              </w:rPr>
              <w:t>Thường xuyên theo hướng dẫn TW</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 xml:space="preserve">Chủ đầu tư và Ban quản lý dự </w:t>
            </w:r>
            <w:proofErr w:type="gramStart"/>
            <w:r w:rsidRPr="00B37F99">
              <w:rPr>
                <w:rFonts w:asciiTheme="majorHAnsi" w:hAnsiTheme="majorHAnsi" w:cstheme="majorHAnsi"/>
                <w:color w:val="000000"/>
                <w:sz w:val="25"/>
                <w:szCs w:val="25"/>
              </w:rPr>
              <w:t>án</w:t>
            </w:r>
            <w:proofErr w:type="gramEnd"/>
            <w:r w:rsidRPr="00B37F99">
              <w:rPr>
                <w:rFonts w:asciiTheme="majorHAnsi" w:hAnsiTheme="majorHAnsi" w:cstheme="majorHAnsi"/>
                <w:color w:val="000000"/>
                <w:sz w:val="25"/>
                <w:szCs w:val="25"/>
              </w:rPr>
              <w:t xml:space="preserve"> hoàn thiện hồ sơ quyết toán; đẩy nhanh công tác quyết toán các dự án hoàn thành trình cấp có thẩm quyền phê duyệt.</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3</w:t>
            </w:r>
          </w:p>
        </w:tc>
        <w:tc>
          <w:tcPr>
            <w:tcW w:w="6655"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cổ phần hóa các công ty, doanh nghiệp theo đề án đã phê duyệt</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4</w:t>
            </w:r>
          </w:p>
        </w:tc>
        <w:tc>
          <w:tcPr>
            <w:tcW w:w="6655"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pacing w:val="-4"/>
                <w:sz w:val="25"/>
                <w:szCs w:val="25"/>
                <w:lang w:val="da-DK"/>
              </w:rPr>
              <w:t>Triển khai công tác thoái vốn nhà nước tại các doanh nghiệp giai đoạn 2017-2020 theo Quyết định số 1232/QĐ-TTg ngày 17/8/2017 của Thủ tướng Chính phủ</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lastRenderedPageBreak/>
              <w:t>5</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Kế hoạch số 6320/KH-UBND ngày 15/12/2017 của UBND tỉnh triển khai thực hiện Quyết định số 1058/QĐ-TTg ngày 19/7/2017 của Thủ tướng Chính phủ phê duyệt Đề án “Cơ cấu lại hệ thống các tổ chức tín dụng gắn với xử lý nợ xấu giai đoạn 2016-2020” trên địa bàn tỉnh Quảng Trị.</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Ngân hàng Nhà nước</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6</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Hoàn thành quy hoạch mạng lưới các đơn vị sự nghiệp công lập</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Sở, ban, ngành, UBND các huyện, thành phố, thị xã và các cơ quan liên quan.</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7</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Giao quyền tự chủ, tự chịu trách nhiệm đối với các đơn vị sự nghiệp công lập giai đoạn 2017-2020 theo Chỉ thị số 14/CT-UBND ngày 13/10/2017 của UBND tỉnh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Sở, ban, ngành, UBND các huyện, thành phố, thị xã và các cơ quan liên quan.</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8</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Sắp xếp, tổ chức lại các đơn vị sự nghiệp công lập</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Nội vụ</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9</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Thực hiện cơ chế tự chủ tài chính đối với đơn vị sự nghiệp công lập theo Nghị định số 16/2015/NĐ-CP ngày 14/02/2015 của Chính phủ và Nghị định số 141/2016/NĐ-CP ngày 10/10/2016 của Chính phủ</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cơ quan đơn vị sự nghiệp công lập</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2017-2020 (Thực hiện theo lộ trình của Chính phủ)</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lastRenderedPageBreak/>
              <w:t>III</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Tuyên truyền, giáo dục sâu rộng, tạo thống nhất nhận thức và hành động về chấp hành nghĩa vụ nộp thuế, pháp luật về ngân sách nhà nước, quản lý nợ công; đẩy mạnh thực hành tiết kiệm và phòng, chống tham nhũng, lãng phí</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 xml:space="preserve">Tổng kết, đánh giá việc chấp hành nghĩa vụ nộp thuế, pháp luật về ngân sách nhà nước và pháp luật về thực hành tiết kiệm, chống lãng phí. </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Cục Thuế, Cục Hải quan, 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Thường xuyên</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Tuyên truyền, giáo dục về tư tưởng, ý thức tiết kiệm, chống lãng phí, tuân thủ pháp luật về thu - chi ngân sách và nợ công.</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cơ quan, đơn vị</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Thường xuyên</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3</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Tăng cường hiệu lực, hiệu quả công tác thanh tra, kiểm tra và chuyển hồ sơ qua cơ quan công an để điều tra, truy tố, xét xử và xử lý nghiêm minh, đúng pháp luật các hành vi tham nhũng, lãng phí; các hành vi vi phạm quy định quản lý tài chính - ngân sách, nợ công và quy định về quản lý, sử dụng vốn nhà nước tại doanh nghiệp.</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Thanh tra tỉnh; Thanh tra các Sở, ban, ngành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Thường xuyên</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31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4</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Rà soát, hoàn thiện công tác kê khai tài sản, thu nhập của cán bộ, công chức, viên chức.</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cơ quan, đơn vị</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Thường xuyên</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IV</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pacing w:val="-4"/>
                <w:sz w:val="25"/>
                <w:szCs w:val="25"/>
                <w:lang w:val="da-DK"/>
              </w:rPr>
              <w:t xml:space="preserve">Tập trung cơ cấu lại thu, chi ngân sách nhà nước, tăng cường quản lý nợ công, bảo đảm an toàn và bền vững nền tài chính quốc gia </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Tập trung rà soát việc thực hiện các chính sách thu gắn với cơ cấu thu ngân sách nhà nước theo hướng bao quát toàn bộ các nguồn thu, mở rộng cơ sở thu, nhất là nguồn thu mới theo đúng quy định, ngăn chặn và xử lý nghiêm tình trạng trốn thuế, thất thu và nợ thuế.</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Cục thuế; Cục Hải quan</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Đổi mới cơ chế phân bổ ngân sách cho các cơ quan hành chính nhà nước theo quy định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B37F99">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theo hướng dẫn của</w:t>
            </w:r>
            <w:r w:rsidR="00B37F99" w:rsidRPr="00B37F99">
              <w:rPr>
                <w:rFonts w:asciiTheme="majorHAnsi" w:hAnsiTheme="majorHAnsi" w:cstheme="majorHAnsi"/>
                <w:color w:val="000000"/>
                <w:sz w:val="25"/>
                <w:szCs w:val="25"/>
              </w:rPr>
              <w:t xml:space="preserve"> TW</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57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lastRenderedPageBreak/>
              <w:t>3</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Xây dựng Kế hoạch tài chính 05 năm và kế hoạch tài chính - ngân sách nhà nước 03 năm theo Nghị định số 45/2017/NĐ-CP ngày 21/4/2016 của Chính phủ.</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Theo hướng dẫn của Bộ Tài chính</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57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4</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Tổ chức rà soát xây dựng và trình ban hành các khoản phí, lệ phí theo đúng quy định của pháp luật về Phí và lệ phí.</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5</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Ban hành Quyết định giá dịch vụ do nhà nước định giá theo Luật phí lệ phí quy định.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6</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 xml:space="preserve">Thực hiện hiệu quả Luật quản lý nợ công và Chương trình quản lý nợ công trung hạn 2016-2018 tại Quyết định số 544/QĐ-TTg ngày 20/4/2017 của Thủ tướng Chính phủ </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 Sở Kế hoạch và Đầu tư</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2018- 2020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V</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Tăng cường kỷ luật, kỷ cương; nâng cao hiệu lực, hiệu quả quản lý nhà nước về tài chính - ngân sách nhà nước và nợ công</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nghiêm túc Luật Thực hành tiết kiệm, chống lãng phí và Luật Phòng, chống tham nhũng. Tổ chức thực hiện chi ngân sách trong phạm vi dự toán được duyệt.</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Các cơ quan, đơn vị</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 xml:space="preserve">Thực hiện tốt chương trình hiện đại hóa thu ngân sách nhà nước kết nối giữa cơ quan Thuế, Kho bạc Nhà nước với các ngân hàng thương mại tạo điều kiện thuận lợi trong việc thu ngân sách nhà nước. Hiện đại hóa công tác quản lý thuế, công tác thanh toán của Kho bạc Nhà nước đảm bảo </w:t>
            </w:r>
            <w:proofErr w:type="gramStart"/>
            <w:r w:rsidRPr="00B37F99">
              <w:rPr>
                <w:rFonts w:asciiTheme="majorHAnsi" w:hAnsiTheme="majorHAnsi" w:cstheme="majorHAnsi"/>
                <w:color w:val="000000"/>
                <w:sz w:val="25"/>
                <w:szCs w:val="25"/>
              </w:rPr>
              <w:t>an</w:t>
            </w:r>
            <w:proofErr w:type="gramEnd"/>
            <w:r w:rsidRPr="00B37F99">
              <w:rPr>
                <w:rFonts w:asciiTheme="majorHAnsi" w:hAnsiTheme="majorHAnsi" w:cstheme="majorHAnsi"/>
                <w:color w:val="000000"/>
                <w:sz w:val="25"/>
                <w:szCs w:val="25"/>
              </w:rPr>
              <w:t xml:space="preserve"> toàn, chính xác, kịp thời trong công tác quản lý thu, chi quỹ ngân sách nhà nước.</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Cục thuế, Kho bạc Nhà nước tỉnh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lastRenderedPageBreak/>
              <w:t>3</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kiểm soát chi bảo đảm chặt chẽ, đúng tiêu chuẩn, chế độ, định mức theo quy định hiện hành, tập trung đầu mối kiểm soát và thanh toán các khoản chi ngân sách nhà nước gắn với trách nhiệm, quyền hạn của từng cơ quan, đơn vị.</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Kho bạc Nhà nước tỉnh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57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4</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nghiêm túc các Kết luận, kiến nghị của Kiểm toán Nhà nước về kiểm toán ngân sách địa phương thực hiện theo Kế hoạch của Kiểm toán Nhà nước.</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Thực hiện theo Kết luận, kiến nghị của Kiểm toán Nhà nước</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5</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Tăng cường công tác tập huấn Luật NSNN, bồi dưỡng công tác quản lý tài chính - ngân sách cho Chủ tài khoản, Kế toán của các đơn vị dự toán.</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945"/>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6</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Tổ chức tập huấn Luật Kế toán và các văn bản hướng dẫn thi hành Luật Kế toán.</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2017</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63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VI</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b/>
                <w:bCs/>
                <w:color w:val="000000"/>
                <w:sz w:val="25"/>
                <w:szCs w:val="25"/>
              </w:rPr>
            </w:pPr>
            <w:r w:rsidRPr="00B37F99">
              <w:rPr>
                <w:rFonts w:asciiTheme="majorHAnsi" w:hAnsiTheme="majorHAnsi" w:cstheme="majorHAnsi"/>
                <w:b/>
                <w:bCs/>
                <w:color w:val="000000"/>
                <w:sz w:val="25"/>
                <w:szCs w:val="25"/>
              </w:rPr>
              <w:t>Kiện toàn bộ máy nhà nước và nhân sự, nâng cao hiệu lực, hiệu quả quản lý nhà nước về tài chính - ngân sách nhà nước và nợ công</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1</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Đẩy mạnh thực hiện tinh giản biên chế và cơ cấu lại đội ngũ cán bộ, công chức, viên chức, gắn với cải cách chế độ công vụ, công chức. Đổi mới mạnh mẽ quy trình, phương thức tổ chức tuyển dụng, sử dụng, trả lương, đánh giá, đề bạt cán bộ; triển khai chế độ hợp đồng có thời hạn đối với viên chức nhà nước theo tinh thần Nghị quyết Hội nghị Trung ương 4 khóa XII</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Nội vụ</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r w:rsidR="00EF782D" w:rsidRPr="00B37F99" w:rsidTr="00E02EED">
        <w:trPr>
          <w:trHeight w:val="1260"/>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2</w:t>
            </w:r>
          </w:p>
        </w:tc>
        <w:tc>
          <w:tcPr>
            <w:tcW w:w="6655" w:type="dxa"/>
            <w:tcBorders>
              <w:top w:val="nil"/>
              <w:left w:val="nil"/>
              <w:bottom w:val="single" w:sz="4" w:space="0" w:color="auto"/>
              <w:right w:val="single" w:sz="4" w:space="0" w:color="auto"/>
            </w:tcBorders>
            <w:shd w:val="clear" w:color="auto" w:fill="auto"/>
            <w:noWrap/>
            <w:vAlign w:val="center"/>
            <w:hideMark/>
          </w:tcPr>
          <w:p w:rsidR="00EF782D" w:rsidRPr="00B37F99" w:rsidRDefault="00EF782D" w:rsidP="00E02EED">
            <w:pPr>
              <w:spacing w:before="20" w:after="20"/>
              <w:jc w:val="both"/>
              <w:rPr>
                <w:rFonts w:asciiTheme="majorHAnsi" w:hAnsiTheme="majorHAnsi" w:cstheme="majorHAnsi"/>
                <w:color w:val="000000"/>
                <w:sz w:val="25"/>
                <w:szCs w:val="25"/>
              </w:rPr>
            </w:pPr>
            <w:r w:rsidRPr="00B37F99">
              <w:rPr>
                <w:rFonts w:asciiTheme="majorHAnsi" w:hAnsiTheme="majorHAnsi" w:cstheme="majorHAnsi"/>
                <w:color w:val="000000"/>
                <w:sz w:val="25"/>
                <w:szCs w:val="25"/>
              </w:rPr>
              <w:t>Tiếp tục kiện toàn đội ngũ cán bộ, công chức làm công tác tài chính cả về phẩm chất đạo đức công vụ và trình độ chuyên môn nghiệp vụ. Thường xuyên bồi dưỡng chuyên môn, nghiệp vụ cho đội ngũ cán bộ, công chức làm công tác tài chính, nâng cao năng lực dự báo và xây dựng kế hoạch tài chính - ngân sách.</w:t>
            </w:r>
          </w:p>
        </w:tc>
        <w:tc>
          <w:tcPr>
            <w:tcW w:w="1497"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Sở Tài chính</w:t>
            </w:r>
          </w:p>
        </w:tc>
        <w:tc>
          <w:tcPr>
            <w:tcW w:w="1274" w:type="dxa"/>
            <w:tcBorders>
              <w:top w:val="nil"/>
              <w:left w:val="nil"/>
              <w:bottom w:val="single" w:sz="4" w:space="0" w:color="auto"/>
              <w:right w:val="single" w:sz="4" w:space="0" w:color="auto"/>
            </w:tcBorders>
            <w:shd w:val="clear" w:color="auto" w:fill="auto"/>
            <w:vAlign w:val="center"/>
            <w:hideMark/>
          </w:tcPr>
          <w:p w:rsidR="00EF782D" w:rsidRPr="00B37F99" w:rsidRDefault="00EF782D" w:rsidP="00E02EED">
            <w:pPr>
              <w:spacing w:before="20" w:after="20"/>
              <w:jc w:val="center"/>
              <w:rPr>
                <w:rFonts w:asciiTheme="majorHAnsi" w:hAnsiTheme="majorHAnsi" w:cstheme="majorHAnsi"/>
                <w:color w:val="000000"/>
                <w:sz w:val="25"/>
                <w:szCs w:val="25"/>
              </w:rPr>
            </w:pPr>
            <w:r w:rsidRPr="00B37F99">
              <w:rPr>
                <w:rFonts w:asciiTheme="majorHAnsi" w:hAnsiTheme="majorHAnsi" w:cstheme="majorHAnsi"/>
                <w:color w:val="000000"/>
                <w:sz w:val="25"/>
                <w:szCs w:val="25"/>
              </w:rPr>
              <w:t>Năm 2018-2020</w:t>
            </w:r>
          </w:p>
        </w:tc>
        <w:tc>
          <w:tcPr>
            <w:tcW w:w="2612"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c>
          <w:tcPr>
            <w:tcW w:w="3350" w:type="dxa"/>
            <w:tcBorders>
              <w:top w:val="nil"/>
              <w:left w:val="nil"/>
              <w:bottom w:val="single" w:sz="4" w:space="0" w:color="auto"/>
              <w:right w:val="single" w:sz="4" w:space="0" w:color="auto"/>
            </w:tcBorders>
            <w:shd w:val="clear" w:color="auto" w:fill="auto"/>
            <w:noWrap/>
            <w:vAlign w:val="bottom"/>
            <w:hideMark/>
          </w:tcPr>
          <w:p w:rsidR="00EF782D" w:rsidRPr="00B37F99" w:rsidRDefault="00EF782D" w:rsidP="00E02EED">
            <w:pPr>
              <w:spacing w:before="20" w:after="20"/>
              <w:rPr>
                <w:rFonts w:asciiTheme="majorHAnsi" w:hAnsiTheme="majorHAnsi" w:cstheme="majorHAnsi"/>
                <w:color w:val="000000"/>
                <w:sz w:val="25"/>
                <w:szCs w:val="25"/>
              </w:rPr>
            </w:pPr>
            <w:r w:rsidRPr="00B37F99">
              <w:rPr>
                <w:rFonts w:asciiTheme="majorHAnsi" w:hAnsiTheme="majorHAnsi" w:cstheme="majorHAnsi"/>
                <w:color w:val="000000"/>
                <w:sz w:val="25"/>
                <w:szCs w:val="25"/>
              </w:rPr>
              <w:t> </w:t>
            </w:r>
          </w:p>
        </w:tc>
      </w:tr>
    </w:tbl>
    <w:p w:rsidR="00EF782D" w:rsidRDefault="00EF782D"/>
    <w:sectPr w:rsidR="00EF782D" w:rsidSect="00B37F99">
      <w:footerReference w:type="default" r:id="rId7"/>
      <w:pgSz w:w="16838" w:h="11906" w:orient="landscape" w:code="9"/>
      <w:pgMar w:top="567" w:right="284" w:bottom="567" w:left="28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FC1" w:rsidRDefault="007F4FC1" w:rsidP="00B37F99">
      <w:r>
        <w:separator/>
      </w:r>
    </w:p>
  </w:endnote>
  <w:endnote w:type="continuationSeparator" w:id="0">
    <w:p w:rsidR="007F4FC1" w:rsidRDefault="007F4FC1" w:rsidP="00B3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77033"/>
      <w:docPartObj>
        <w:docPartGallery w:val="Page Numbers (Bottom of Page)"/>
        <w:docPartUnique/>
      </w:docPartObj>
    </w:sdtPr>
    <w:sdtEndPr>
      <w:rPr>
        <w:noProof/>
      </w:rPr>
    </w:sdtEndPr>
    <w:sdtContent>
      <w:p w:rsidR="00B37F99" w:rsidRDefault="00B37F99">
        <w:pPr>
          <w:pStyle w:val="Footer"/>
          <w:jc w:val="center"/>
        </w:pPr>
        <w:r>
          <w:fldChar w:fldCharType="begin"/>
        </w:r>
        <w:r>
          <w:instrText xml:space="preserve"> PAGE   \* MERGEFORMAT </w:instrText>
        </w:r>
        <w:r>
          <w:fldChar w:fldCharType="separate"/>
        </w:r>
        <w:r w:rsidR="00232452">
          <w:rPr>
            <w:noProof/>
          </w:rPr>
          <w:t>1</w:t>
        </w:r>
        <w:r>
          <w:rPr>
            <w:noProof/>
          </w:rPr>
          <w:fldChar w:fldCharType="end"/>
        </w:r>
      </w:p>
    </w:sdtContent>
  </w:sdt>
  <w:p w:rsidR="00B37F99" w:rsidRDefault="00B37F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FC1" w:rsidRDefault="007F4FC1" w:rsidP="00B37F99">
      <w:r>
        <w:separator/>
      </w:r>
    </w:p>
  </w:footnote>
  <w:footnote w:type="continuationSeparator" w:id="0">
    <w:p w:rsidR="007F4FC1" w:rsidRDefault="007F4FC1" w:rsidP="00B37F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7A9"/>
    <w:rsid w:val="00232452"/>
    <w:rsid w:val="006C47A9"/>
    <w:rsid w:val="007F4FC1"/>
    <w:rsid w:val="00814DD7"/>
    <w:rsid w:val="00886737"/>
    <w:rsid w:val="00B37F99"/>
    <w:rsid w:val="00E02EED"/>
    <w:rsid w:val="00EF78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7A9"/>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F99"/>
    <w:pPr>
      <w:tabs>
        <w:tab w:val="center" w:pos="4513"/>
        <w:tab w:val="right" w:pos="9026"/>
      </w:tabs>
    </w:pPr>
  </w:style>
  <w:style w:type="character" w:customStyle="1" w:styleId="HeaderChar">
    <w:name w:val="Header Char"/>
    <w:basedOn w:val="DefaultParagraphFont"/>
    <w:link w:val="Header"/>
    <w:uiPriority w:val="99"/>
    <w:rsid w:val="00B37F99"/>
    <w:rPr>
      <w:rFonts w:eastAsia="Times New Roman" w:cs="Times New Roman"/>
      <w:sz w:val="24"/>
      <w:szCs w:val="24"/>
      <w:lang w:val="en-US"/>
    </w:rPr>
  </w:style>
  <w:style w:type="paragraph" w:styleId="Footer">
    <w:name w:val="footer"/>
    <w:basedOn w:val="Normal"/>
    <w:link w:val="FooterChar"/>
    <w:uiPriority w:val="99"/>
    <w:unhideWhenUsed/>
    <w:rsid w:val="00B37F99"/>
    <w:pPr>
      <w:tabs>
        <w:tab w:val="center" w:pos="4513"/>
        <w:tab w:val="right" w:pos="9026"/>
      </w:tabs>
    </w:pPr>
  </w:style>
  <w:style w:type="character" w:customStyle="1" w:styleId="FooterChar">
    <w:name w:val="Footer Char"/>
    <w:basedOn w:val="DefaultParagraphFont"/>
    <w:link w:val="Footer"/>
    <w:uiPriority w:val="99"/>
    <w:rsid w:val="00B37F99"/>
    <w:rPr>
      <w:rFonts w:eastAsia="Times New Roman" w:cs="Times New Roman"/>
      <w:sz w:val="24"/>
      <w:szCs w:val="24"/>
      <w:lang w:val="en-US"/>
    </w:rPr>
  </w:style>
  <w:style w:type="paragraph" w:styleId="BalloonText">
    <w:name w:val="Balloon Text"/>
    <w:basedOn w:val="Normal"/>
    <w:link w:val="BalloonTextChar"/>
    <w:uiPriority w:val="99"/>
    <w:semiHidden/>
    <w:unhideWhenUsed/>
    <w:rsid w:val="00B37F99"/>
    <w:rPr>
      <w:rFonts w:ascii="Tahoma" w:hAnsi="Tahoma" w:cs="Tahoma"/>
      <w:sz w:val="16"/>
      <w:szCs w:val="16"/>
    </w:rPr>
  </w:style>
  <w:style w:type="character" w:customStyle="1" w:styleId="BalloonTextChar">
    <w:name w:val="Balloon Text Char"/>
    <w:basedOn w:val="DefaultParagraphFont"/>
    <w:link w:val="BalloonText"/>
    <w:uiPriority w:val="99"/>
    <w:semiHidden/>
    <w:rsid w:val="00B37F9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7A9"/>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F99"/>
    <w:pPr>
      <w:tabs>
        <w:tab w:val="center" w:pos="4513"/>
        <w:tab w:val="right" w:pos="9026"/>
      </w:tabs>
    </w:pPr>
  </w:style>
  <w:style w:type="character" w:customStyle="1" w:styleId="HeaderChar">
    <w:name w:val="Header Char"/>
    <w:basedOn w:val="DefaultParagraphFont"/>
    <w:link w:val="Header"/>
    <w:uiPriority w:val="99"/>
    <w:rsid w:val="00B37F99"/>
    <w:rPr>
      <w:rFonts w:eastAsia="Times New Roman" w:cs="Times New Roman"/>
      <w:sz w:val="24"/>
      <w:szCs w:val="24"/>
      <w:lang w:val="en-US"/>
    </w:rPr>
  </w:style>
  <w:style w:type="paragraph" w:styleId="Footer">
    <w:name w:val="footer"/>
    <w:basedOn w:val="Normal"/>
    <w:link w:val="FooterChar"/>
    <w:uiPriority w:val="99"/>
    <w:unhideWhenUsed/>
    <w:rsid w:val="00B37F99"/>
    <w:pPr>
      <w:tabs>
        <w:tab w:val="center" w:pos="4513"/>
        <w:tab w:val="right" w:pos="9026"/>
      </w:tabs>
    </w:pPr>
  </w:style>
  <w:style w:type="character" w:customStyle="1" w:styleId="FooterChar">
    <w:name w:val="Footer Char"/>
    <w:basedOn w:val="DefaultParagraphFont"/>
    <w:link w:val="Footer"/>
    <w:uiPriority w:val="99"/>
    <w:rsid w:val="00B37F99"/>
    <w:rPr>
      <w:rFonts w:eastAsia="Times New Roman" w:cs="Times New Roman"/>
      <w:sz w:val="24"/>
      <w:szCs w:val="24"/>
      <w:lang w:val="en-US"/>
    </w:rPr>
  </w:style>
  <w:style w:type="paragraph" w:styleId="BalloonText">
    <w:name w:val="Balloon Text"/>
    <w:basedOn w:val="Normal"/>
    <w:link w:val="BalloonTextChar"/>
    <w:uiPriority w:val="99"/>
    <w:semiHidden/>
    <w:unhideWhenUsed/>
    <w:rsid w:val="00B37F99"/>
    <w:rPr>
      <w:rFonts w:ascii="Tahoma" w:hAnsi="Tahoma" w:cs="Tahoma"/>
      <w:sz w:val="16"/>
      <w:szCs w:val="16"/>
    </w:rPr>
  </w:style>
  <w:style w:type="character" w:customStyle="1" w:styleId="BalloonTextChar">
    <w:name w:val="Balloon Text Char"/>
    <w:basedOn w:val="DefaultParagraphFont"/>
    <w:link w:val="BalloonText"/>
    <w:uiPriority w:val="99"/>
    <w:semiHidden/>
    <w:rsid w:val="00B37F99"/>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12578">
      <w:bodyDiv w:val="1"/>
      <w:marLeft w:val="0"/>
      <w:marRight w:val="0"/>
      <w:marTop w:val="0"/>
      <w:marBottom w:val="0"/>
      <w:divBdr>
        <w:top w:val="none" w:sz="0" w:space="0" w:color="auto"/>
        <w:left w:val="none" w:sz="0" w:space="0" w:color="auto"/>
        <w:bottom w:val="none" w:sz="0" w:space="0" w:color="auto"/>
        <w:right w:val="none" w:sz="0" w:space="0" w:color="auto"/>
      </w:divBdr>
    </w:div>
    <w:div w:id="145339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cp:revision>
  <cp:lastPrinted>2020-03-18T07:47:00Z</cp:lastPrinted>
  <dcterms:created xsi:type="dcterms:W3CDTF">2020-03-18T07:09:00Z</dcterms:created>
  <dcterms:modified xsi:type="dcterms:W3CDTF">2020-03-18T08:15:00Z</dcterms:modified>
</cp:coreProperties>
</file>